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59 vom 10. März 1978</w:t>
      </w:r>
    </w:p>
    <w:p>
      <w:r>
        <w:t>Bundesgericht (BGE), 1978-03-10, DE</w:t>
      </w:r>
    </w:p>
    <w:p>
      <w:r>
        <w:rPr>
          <w:b/>
        </w:rPr>
        <w:t xml:space="preserve">Quelle: </w:t>
      </w:r>
      <w:r>
        <w:t>https://mcp.opencaselaw.ch/entscheid/bge_104 IB 59</w:t>
      </w:r>
    </w:p>
    <w:p>
      <w:r>
        <w:t>FR: BGE 104 IB 59 du 10 mars 1978</w:t>
      </w:r>
    </w:p>
    <w:p>
      <w:r>
        <w:t>IT: BGE 104 IB 59 del 10 marzo 1978</w:t>
      </w:r>
    </w:p>
    <w:p>
      <w:pPr>
        <w:pStyle w:val="Heading2"/>
      </w:pPr>
      <w:r>
        <w:t>Regeste</w:t>
      </w:r>
    </w:p>
    <w:p>
      <w:r>
        <w:t>Regeste Ermächtigung zur Strafverfolgung eines eidg. Untersuchungsrichters (Art. 15 VG); Akteneinsicht (Art. 26/27 VwVG). Ist im Verfahren, in welchem um die Ermächtigung zur Strafverfolgung eines eidg. Untersuchungsrichters wegen dessen Amtsführung nachgesucht wird, die Einsichtnahme in die Akten der betreffenden strafrechtlichen Voruntersuchung zu bewilligen? Frage verneint (E. 3). Rechtmässigkeit des Entscheids, die Ermächtigung zur Strafverfolgung zu verweigern (E. 6).</w:t>
      </w:r>
    </w:p>
    <w:p>
      <w:pPr>
        <w:pStyle w:val="Heading2"/>
      </w:pPr>
      <w:r>
        <w:t>Erwägungen</w:t>
      </w:r>
    </w:p>
    <w:p>
      <w:r>
        <w:rPr>
          <w:b/>
        </w:rPr>
        <w:t>E. 3</w:t>
      </w:r>
    </w:p>
    <w:p>
      <w:r>
        <w:t>a) Die Beschwerdeführer machen geltend, sie könnten ihre Beschwerde materiell nicht begründen, ohne dass ihnen Einsicht in die Akten der genannten Strafuntersuchung gegen Mitglieder und Anhänger des DLZ gewährt worden sei. Die Bundesanwaltschaft habe ihnen diese Akteneinsicht zu Unrecht verweigert. Sie stellen darum den Antrag, es sei ihnen zunächst Einsicht in die gewünschten Akten zu geben. Anschliessend sei im Sinne einer Wiederherstellung gemäss Art. 35 OG eine Frist zur materiellen Begründung der Beschwerde anzusetzen. b) Der in Art. 26/27 VwVG umschriebene Anspruch auf Akteneinsicht gilt sowohl vor als auch nach Fällung eines mit Verwaltungsgerichtsbeschwerde anfechtbaren Entscheides. Wer erwägt, eine Verwaltungsgerichtsbeschwerde zu führen, kann daher Einsicht in die Akten verlangen. Der Lauf der Beschwerdefrist wird dadurch aber grundsätzlich nicht beeinflusst. Die Verweigerung der Akteneinsicht in diesem Stadium des Verfahrens wird zweckmässigerweise zusammen mit dem von der Vorinstanz in materieller Hinsicht erlassenen Entscheid angefochten. Das Bundesgericht hat in einem solchen BGE 104 Ib 59 S. 61 Fall die Möglichkeit, den Entscheid, mit welchem die Akteneinsicht verweigert worden ist, aufzuheben und die Vorinstanz anzuweisen, dem Beschwerdeführer in einem bestimmten Umfang Akteneinsicht zu gewähren. Gleichzeitig kann es das Beschwerdeverfahren gegen den materiellen Entscheid sistieren und nach gewährter Akteneinsicht eine Frist zur Beschwerdeergänzung ansetzen ( BGE 98 Ib 167 ). In der Regel wird ein Beschwerdeführer aber ohne weitere Akteneinsicht in der Lage sein, eine Verwaltungsgerichtsbeschwerde einzureichen, da er aufgrund des Verfahrens vor der Vorinstanz oder vor früheren Instanzen, in dessen Verlauf er Akteneinsicht verlangen konnte, genügend mit dem Prozessthema vertraut ist. Im übrigen steht es dem Beschwerdeführer frei, in seiner Beschwerdeschrift die Edition von Akten der Vorinstanz zu beantragen, wenn er der Ansicht ist, darin seien weitere Beweismittel enthalten. Einem solchen Gesuch gibt das Bundesgericht statt, wenn das Beiziehen der verlangten Akten für die Entscheidung des Falles erheblich erscheint. Wenn die Vorinstanz auf Veranlassung des Bundesgerichts oder von sich aus Akten vorlegt, die neue Tatsachen enthalten, die der Beschwerdeführer noch nicht kennt, ordnet das Bundesgericht einen zweiten Schriftenwechsel an, in dessen Verlauf der Beschwerdeführer Einsicht in diese Akten nehmen und sich dazu äussern kann ( BGE 94 I 663 ). c) Nach Art. 27 VwVG darf die Behörde die Einsichtnahme in die Akten unter anderem dann verweigern, wenn wesentliche öffentliche Interessen des Bundes die Geheimhaltung erfordern. Im Verwaltungsverfahren und im verwaltungsgerichtlichen Beschwerdeverfahren kann jede handlungsfähige Person eine Parteivertretung übernehmen ( Art. 11 VwVG , Art. 29 OG ). Demgegenüber können im Bundesstrafprozess nur Rechtsanwälte und Rechtslehrer an schweizerischen Hochschulen als Verteidiger auftreten ( Art. 35 Abs. 3 BStP ). Wenn im vorliegenden Verfahren E. Finger und A., die nicht Verteidiger im Bundesstrafprozess sein können, Einsicht in die Strafakten zu geben wäre, würden damit die strengeren strafprozessualen Bestimmungen über die Akteneinsicht umgangen. Eine Umgehung dieser Bestimmungen ergäbe sich auch, wenn dem Beschuldigten Omkarananda ausserhalb des Strafverfahrens Einsicht in die Strafakten gegeben würde. Es besteht ein wesentliches öffentliches Interesse, dass die im BGE 104 Ib 59 S. 62 Strafverfahren zuständigen Behörden nach den strafprozessualen Regeln entscheiden, wem, zu welchem Zeitpunkt und in welchem Umfang Einsicht in die Strafakten zu geben sei. Nur die Bestimmungen des Strafprozesses regeln die Akteneinsicht in einer Weise, welche ein geordnetes Strafverfahren ermöglicht. Zudem sind die zuständigen Behörden des Strafverfahrens am besten in der Lage, die Akteneinsicht in einem Rahmen zu gewähren, welcher die Strafverfolgung nicht gefährdet. Dieses öffentliche Interesse rechtfertigt, dass den Beschwerdeführern im Verfahren betreffend die Strafverfolgungsermächtigung keine Einsicht in die Strafakten gewährt wird. Die Verweigerung der Akteneinsicht durch die Vorinstanz ist daher nicht zu beanstanden. Aus den gleichen Überlegungen müsste das Bundesgericht im übrigen ein Gesuch abweisen, mit dem die Edition der Strafakten im verwaltungsgerichtlichen Beschwerdeverfahren verlangt würde. d) Selbst wenn das öffentliche Interesse an der Verweigerung der Akteneinsicht und das private Interesse an einer Einsichtnahme gegeneinander abzuwägen wären, müsste das öffentliche Interesse als schutzwürdiger bezeichnet werden. Im vorliegenden Beschwerdeverfahren ist die Ermächtigung zur Strafverfolgung von Dr. Wieland streitig. Diese Ermächtigung muss erteilt werden, wenn sich aufgrund einer gemäss Art. 15 Abs. 3 VG durchgeführten Vorprüfung Anhaltspunkte dafür ergeben, dass seine Handlungen einen Straftatbestand erfüllen und die gesetzlichen Voraussetzungen der Strafverfolgung gegeben sein könnten. Nicht Voraussetzung einer Ermächtigung ist, dass der objektive und subjektive Tatbestand mit Sicherheit nachgewiesen wird ( BGE 100 Ib 15 , BGE 93 I 78 ). Die viel weitergehende Frage, ob Dr. Wieland die Strafuntersuchung richtig geführt habe und ob die Resultate dieser Untersuchung in tatsächlicher Hinsicht unumstösslich seien, ist jedoch nicht in diesem Vorprüfungsverfahren abzuklären. Dies wird Gegenstand des in Aussicht stehenden Strafprozesses gegen Mitglieder und Sympathisanten des DLZ sein. Um lediglich Anhaltspunkte für die Strafbarkeit von Dr. Wieland vorzubringen, sind die Akten, welche die Beschwerdeführer bereits kennen, sowie ihre sonstigen Kenntnisse über das Strafverfahren ausreichend. Die Beschwerdeführer kennen insbesondere den Schlussbericht des eidg. Untersuchungsrichters und den Entscheid der Anklagekammer des BGE 104 Ib 59 S. 63 Bundesgerichts vom 7. November 1977 betreffend Ausstandsgesuche gegen diesen Untersuchungsrichter. Anhaltspunkte über die Strafbarkeit von Dr. Wieland könnten aufgrund dieser Kenntnisse ohne weiteres dargelegt werden, sofern sie bestehen würden. Das Interesse an einer zusätzlichen Einsichtnahme in die umfangreichen Akten der Strafuntersuchung erweist sich darum als unbedeutend, verglichen mit dem öffentlichen Interesse an einer Verweigerung der Akteneinsicht.</w:t>
      </w:r>
    </w:p>
    <w:p>
      <w:r>
        <w:rPr>
          <w:b/>
        </w:rPr>
        <w:t>E. 4</w:t>
      </w:r>
    </w:p>
    <w:p>
      <w:r>
        <w:t>Die Beschwerdeführer stellen ferner ein Gesuch um Wiederherstellung der Beschwerdefrist nach Wegfall der Hindernisse, welche nach ihrer Ansicht eine materielle Begründung der Beschwerde verunmöglicht haben. Nach Art. 35 OG kann die Wiederherstellung gegen die Folgen der Versäumung einer Frist nur erteilt werden, wenn der Gesuchsteller oder sein Vertreter durch ein unverschuldetes Hindernis abgehalten worden ist, innert der Frist zu handeln. Im vorliegenden Fall waren die Beschwerdeführer in der Lage, wie oben ausgeführt, ihre Beschwerde materiell zu begründen. Der Beschwerdeführer Omkarananda, der sich in Untersuchungshaft befindet, richtete selber Eingaben an das Bundesgericht. In der Eingabe vom 11. Januar 1978 hat er im übrigen ausgeführt, E. Finger sei sein Parteivertreter und dieser habe die Beschwerde in seinem Namen eingereicht. Omkarananda wurde somit durch die Untersuchungshaft nicht an der Einreichung einer Beschwerde gehindert. Insoweit die Beschwerdeführer für die Einreichung einer vollständig begründeten Beschwerde die Frist verpasst haben sollten, hätten sie diesen Umstand selber verschuldet. Das Wiederherstellungsgesuch ist daher abzuweisen.</w:t>
      </w:r>
    </w:p>
    <w:p>
      <w:r>
        <w:rPr>
          <w:b/>
        </w:rPr>
        <w:t>E. 6</w:t>
      </w:r>
    </w:p>
    <w:p>
      <w:r>
        <w:t>Die Beschwerdeführer bringen vor, Dr. Wieland habe sich durch seine Amtshandlungen schwerer krimineller Delikte schuldig gemacht. Dadurch seien sie geschädigt worden. Sie verlangen darum die Aufhebung des angefochtenen Entscheides. Die Anklagekammer des Bundesgerichts hat in ihrem ausführlichen Entscheid vom 7. November 1977 Ausstandsgesuche gegen Dr. Wieland abgewiesen, welche von Omkarananda und weiteren Beschuldigten des Strafverfahrens eingereicht worden waren. Sie ist dabei zum Schluss gekommen, die vorgebrachten Rügen seien nicht geeignet, Misstrauen in die Unparteilichkeit von Dr. Wieland zu begründen. BGE 104 Ib 59 S. 64 Wenn bei Dr. Wieland nicht einmal Zeichen der Parteilichkeit zuungunsten der Mitglieder und Anhänger des DLZ festgestellt werden konnten, kann ausgeschlossen werden, dass Anhaltspunkte dafür bestehen, dass sich Dr. Wieland zum Nachteil dieser Personen strafbar gemacht hat. Die Vorinstanz hat somit kein Bundesrecht verletzt, indem sie die Ermächtigung zur Strafverfolgung von Dr. Wieland verweigert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